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A3" w:rsidRPr="003440A3" w:rsidRDefault="003440A3" w:rsidP="003440A3">
      <w:pPr>
        <w:shd w:val="clear" w:color="auto" w:fill="FFFFFF"/>
        <w:spacing w:after="0" w:afterAutospacing="1" w:line="240" w:lineRule="auto"/>
        <w:outlineLvl w:val="0"/>
        <w:rPr>
          <w:rFonts w:ascii="Arial" w:eastAsia="Times New Roman" w:hAnsi="Arial" w:cs="Arial"/>
          <w:b/>
          <w:bCs/>
          <w:color w:val="1B1A19"/>
          <w:kern w:val="36"/>
          <w:sz w:val="48"/>
          <w:szCs w:val="48"/>
          <w:lang w:eastAsia="it-IT"/>
        </w:rPr>
      </w:pPr>
      <w:r w:rsidRPr="003440A3">
        <w:rPr>
          <w:rFonts w:ascii="Arial" w:eastAsia="Times New Roman" w:hAnsi="Arial" w:cs="Arial"/>
          <w:b/>
          <w:bCs/>
          <w:color w:val="1B1A19"/>
          <w:kern w:val="36"/>
          <w:sz w:val="48"/>
          <w:szCs w:val="48"/>
          <w:lang w:eastAsia="it-IT"/>
        </w:rPr>
        <w:t>CT363/9/1 </w:t>
      </w:r>
      <w:bookmarkStart w:id="0" w:name="_GoBack"/>
      <w:bookmarkEnd w:id="0"/>
    </w:p>
    <w:p w:rsidR="003440A3" w:rsidRPr="003440A3" w:rsidRDefault="003440A3" w:rsidP="003440A3">
      <w:pPr>
        <w:shd w:val="clear" w:color="auto" w:fill="FFFFFF"/>
        <w:spacing w:after="0" w:line="240" w:lineRule="auto"/>
        <w:rPr>
          <w:rFonts w:ascii="PT Sans" w:eastAsia="Times New Roman" w:hAnsi="PT Sans" w:cs="Arial"/>
          <w:color w:val="1B1A19"/>
          <w:sz w:val="18"/>
          <w:szCs w:val="18"/>
          <w:lang w:eastAsia="it-IT"/>
        </w:rPr>
      </w:pPr>
      <w:r w:rsidRPr="003440A3">
        <w:rPr>
          <w:rFonts w:ascii="PT Sans" w:eastAsia="Times New Roman" w:hAnsi="PT Sans" w:cs="Arial"/>
          <w:color w:val="1B1A19"/>
          <w:sz w:val="18"/>
          <w:szCs w:val="18"/>
          <w:lang w:eastAsia="it-IT"/>
        </w:rPr>
        <w:t xml:space="preserve">Convertitore </w:t>
      </w:r>
      <w:proofErr w:type="spellStart"/>
      <w:r w:rsidRPr="003440A3">
        <w:rPr>
          <w:rFonts w:ascii="PT Sans" w:eastAsia="Times New Roman" w:hAnsi="PT Sans" w:cs="Arial"/>
          <w:color w:val="1B1A19"/>
          <w:sz w:val="18"/>
          <w:szCs w:val="18"/>
          <w:lang w:eastAsia="it-IT"/>
        </w:rPr>
        <w:t>switch</w:t>
      </w:r>
      <w:proofErr w:type="spellEnd"/>
      <w:r w:rsidRPr="003440A3">
        <w:rPr>
          <w:rFonts w:ascii="PT Sans" w:eastAsia="Times New Roman" w:hAnsi="PT Sans" w:cs="Arial"/>
          <w:color w:val="1B1A19"/>
          <w:sz w:val="18"/>
          <w:szCs w:val="18"/>
          <w:lang w:eastAsia="it-IT"/>
        </w:rPr>
        <w:t xml:space="preserve"> Scart/HDMI a HDMI + Audio</w:t>
      </w:r>
    </w:p>
    <w:p w:rsidR="003440A3" w:rsidRPr="003440A3" w:rsidRDefault="003440A3" w:rsidP="00344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B1A19"/>
          <w:sz w:val="18"/>
          <w:szCs w:val="18"/>
          <w:lang w:eastAsia="it-IT"/>
        </w:rPr>
      </w:pPr>
      <w:hyperlink r:id="rId5" w:anchor="product_tabs_additional_tabbed_contents" w:history="1">
        <w:r w:rsidRPr="003440A3">
          <w:rPr>
            <w:rFonts w:ascii="Arial" w:eastAsia="Times New Roman" w:hAnsi="Arial" w:cs="Arial"/>
            <w:color w:val="0000FF"/>
            <w:sz w:val="18"/>
            <w:szCs w:val="18"/>
            <w:lang w:eastAsia="it-IT"/>
          </w:rPr>
          <w:t>Info Tecniche</w:t>
        </w:r>
      </w:hyperlink>
      <w:r w:rsidRPr="003440A3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3440A3" w:rsidRPr="003440A3" w:rsidRDefault="003440A3" w:rsidP="003440A3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</w:pP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t>Il convertitore/</w:t>
      </w:r>
      <w:proofErr w:type="spellStart"/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t>switch</w:t>
      </w:r>
      <w:proofErr w:type="spellEnd"/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t xml:space="preserve"> CT363/9/1 </w:t>
      </w:r>
      <w:proofErr w:type="spellStart"/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t>é</w:t>
      </w:r>
      <w:proofErr w:type="spellEnd"/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t xml:space="preserve"> sviluppato per effettuare la conversione di un segnale SCART verso un'uscita HDMI, integrando al tempo stesso uno </w:t>
      </w:r>
      <w:proofErr w:type="spellStart"/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t>switch</w:t>
      </w:r>
      <w:proofErr w:type="spellEnd"/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t xml:space="preserve"> che permette di commutare il segnale di uscita tra il risultato della conversione SCART e un ingresso HDMI aggiuntivo.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</w:r>
      <w:r w:rsidRPr="003440A3">
        <w:rPr>
          <w:rFonts w:ascii="PT Sans" w:eastAsia="Times New Roman" w:hAnsi="PT Sans" w:cs="Times New Roman"/>
          <w:b/>
          <w:bCs/>
          <w:color w:val="1B1A19"/>
          <w:sz w:val="20"/>
          <w:szCs w:val="20"/>
          <w:lang w:eastAsia="it-IT"/>
        </w:rPr>
        <w:t>Specifiche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- Risoluzioni SCART supportate: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CVBS: PAL o NTSC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RGB: 50/60Hz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- Risoluzioni HDMI in uscita dalla conversione: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720p, 1080p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</w:r>
      <w:r w:rsidRPr="003440A3">
        <w:rPr>
          <w:rFonts w:ascii="PT Sans" w:eastAsia="Times New Roman" w:hAnsi="PT Sans" w:cs="Times New Roman"/>
          <w:b/>
          <w:bCs/>
          <w:color w:val="1B1A19"/>
          <w:sz w:val="20"/>
          <w:szCs w:val="20"/>
          <w:lang w:eastAsia="it-IT"/>
        </w:rPr>
        <w:t>Connessioni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- Connettore HDMI - ingresso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- Connettori HDMI - uscita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- Connettore SCART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</w:r>
      <w:r w:rsidRPr="003440A3">
        <w:rPr>
          <w:rFonts w:ascii="PT Sans" w:eastAsia="Times New Roman" w:hAnsi="PT Sans" w:cs="Times New Roman"/>
          <w:b/>
          <w:bCs/>
          <w:color w:val="1B1A19"/>
          <w:sz w:val="20"/>
          <w:szCs w:val="20"/>
          <w:lang w:eastAsia="it-IT"/>
        </w:rPr>
        <w:t>Contenuto confezione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1x Convertitore</w:t>
      </w: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br/>
        <w:t>1x Alimentatore 5Vdc 1A</w:t>
      </w:r>
    </w:p>
    <w:tbl>
      <w:tblPr>
        <w:tblW w:w="56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4469"/>
      </w:tblGrid>
      <w:tr w:rsidR="003440A3" w:rsidRPr="003440A3" w:rsidTr="003440A3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240" w:type="dxa"/>
            </w:tcMar>
            <w:hideMark/>
          </w:tcPr>
          <w:p w:rsidR="003440A3" w:rsidRPr="003440A3" w:rsidRDefault="003440A3" w:rsidP="0034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40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Ingresso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440A3" w:rsidRPr="003440A3" w:rsidRDefault="003440A3" w:rsidP="0034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4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 SCART|HDMI®|Audio L/R</w:t>
            </w:r>
          </w:p>
        </w:tc>
      </w:tr>
      <w:tr w:rsidR="003440A3" w:rsidRPr="003440A3" w:rsidTr="003440A3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240" w:type="dxa"/>
            </w:tcMar>
            <w:hideMark/>
          </w:tcPr>
          <w:p w:rsidR="003440A3" w:rsidRPr="003440A3" w:rsidRDefault="003440A3" w:rsidP="0034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40A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Uscita</w:t>
            </w:r>
          </w:p>
        </w:tc>
        <w:tc>
          <w:tcPr>
            <w:tcW w:w="0" w:type="auto"/>
            <w:tcBorders>
              <w:bottom w:val="nil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3440A3" w:rsidRPr="003440A3" w:rsidRDefault="003440A3" w:rsidP="0034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4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1 HDMI®|Audio </w:t>
            </w:r>
            <w:proofErr w:type="spellStart"/>
            <w:r w:rsidRPr="0034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COAX|Audio</w:t>
            </w:r>
            <w:proofErr w:type="spellEnd"/>
            <w:r w:rsidRPr="00344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analogico</w:t>
            </w:r>
          </w:p>
        </w:tc>
      </w:tr>
    </w:tbl>
    <w:p w:rsidR="003440A3" w:rsidRPr="003440A3" w:rsidRDefault="003440A3" w:rsidP="003440A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</w:pPr>
      <w:r w:rsidRPr="003440A3">
        <w:rPr>
          <w:rFonts w:ascii="PT Sans" w:eastAsia="Times New Roman" w:hAnsi="PT Sans" w:cs="Times New Roman"/>
          <w:color w:val="1B1A19"/>
          <w:sz w:val="20"/>
          <w:szCs w:val="20"/>
          <w:lang w:eastAsia="it-IT"/>
        </w:rPr>
        <w:t>  </w:t>
      </w:r>
    </w:p>
    <w:sectPr w:rsidR="003440A3" w:rsidRPr="00344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953"/>
    <w:multiLevelType w:val="multilevel"/>
    <w:tmpl w:val="DA70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F3428"/>
    <w:multiLevelType w:val="multilevel"/>
    <w:tmpl w:val="3DE2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A3"/>
    <w:rsid w:val="00240FE3"/>
    <w:rsid w:val="003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8D723-D961-434F-A0AD-FAA4CE9D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44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44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40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40A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440A3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440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440A3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btn-cart-title">
    <w:name w:val="btn-cart-title"/>
    <w:basedOn w:val="Carpredefinitoparagrafo"/>
    <w:rsid w:val="003440A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440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440A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80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9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05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76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06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5157">
                              <w:marLeft w:val="24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phaelettronica.com/ct363-9-1.html?___SID=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Gallina</dc:creator>
  <cp:keywords/>
  <dc:description/>
  <cp:lastModifiedBy>Manuel Gallina</cp:lastModifiedBy>
  <cp:revision>1</cp:revision>
  <dcterms:created xsi:type="dcterms:W3CDTF">2021-07-15T15:32:00Z</dcterms:created>
  <dcterms:modified xsi:type="dcterms:W3CDTF">2021-07-15T15:32:00Z</dcterms:modified>
</cp:coreProperties>
</file>